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54" w:rsidRPr="00685D54" w:rsidRDefault="00685D54" w:rsidP="00685D54">
      <w:pPr>
        <w:pStyle w:val="1"/>
        <w:rPr>
          <w:rFonts w:eastAsia="Times New Roman"/>
        </w:rPr>
      </w:pPr>
      <w:bookmarkStart w:id="0" w:name="_GoBack"/>
      <w:r w:rsidRPr="00685D54">
        <w:rPr>
          <w:rFonts w:eastAsia="Times New Roman"/>
        </w:rPr>
        <w:t>Образец Возражений относительно заявления о возмещении судебных расходов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right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В Советский районный суд города Новосибирска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>630128, г. Новосибирск, ул. Кутателадзе, д. 16 А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right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Истец: Закрытое акционерное общество «Наименование общества»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>630007, г. Новосибирск, Красный проспект, д. 2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right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Ответчик: Иванов Иван Иванович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>630060, г. Новосибирск, ул. Дачная, д. 154, кв. 999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right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Дело № М-1234/16 (2-1111/16)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Pr="00685D54" w:rsidRDefault="00685D54" w:rsidP="00685D54">
      <w:pPr>
        <w:pStyle w:val="2"/>
        <w:rPr>
          <w:rFonts w:eastAsia="Times New Roman"/>
        </w:rPr>
      </w:pPr>
      <w:r w:rsidRPr="00685D54">
        <w:rPr>
          <w:rFonts w:eastAsia="Times New Roman"/>
        </w:rPr>
        <w:t>Возражения относительно заявления о возмещении судебных расходов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Согласно ч. 1 ст. 98 ГПК РФ,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>В соответствии с ч. 1 ст. 88 ГПК РФ судебные расходы состоят из государственной пошлины и издержек,</w:t>
      </w:r>
      <w:r>
        <w:rPr>
          <w:rFonts w:asciiTheme="majorHAnsi" w:eastAsia="Times New Roman" w:hAnsiTheme="majorHAnsi" w:cstheme="majorHAnsi"/>
          <w:color w:val="000000"/>
          <w:szCs w:val="24"/>
        </w:rPr>
        <w:t xml:space="preserve"> связанных с рассмотрением дела. </w:t>
      </w:r>
    </w:p>
    <w:p w:rsid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 xml:space="preserve">В силу абз. 5 ст. 94 ГПК РФ к издержкам, связанным с рассмотрением дела, относятся расходы </w:t>
      </w:r>
      <w:r>
        <w:rPr>
          <w:rFonts w:asciiTheme="majorHAnsi" w:eastAsia="Times New Roman" w:hAnsiTheme="majorHAnsi" w:cstheme="majorHAnsi"/>
          <w:color w:val="000000"/>
          <w:szCs w:val="24"/>
        </w:rPr>
        <w:t>на оплату услуг представителей.</w:t>
      </w:r>
    </w:p>
    <w:p w:rsid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Согласно п. 1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</w:t>
      </w:r>
      <w:r>
        <w:rPr>
          <w:rFonts w:asciiTheme="majorHAnsi" w:eastAsia="Times New Roman" w:hAnsiTheme="majorHAnsi" w:cstheme="majorHAnsi"/>
          <w:color w:val="000000"/>
          <w:szCs w:val="24"/>
        </w:rPr>
        <w:t>дставителя в разумных пределах.</w:t>
      </w:r>
    </w:p>
    <w:p w:rsid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В заявлении о возмещении судебных расходов Ответчик просит суд взыскать в его пользу с Закрытого акционерного общества «Наименование общества» 200 тысяч рублей расходов на оплату услуг представителя, в том числе оплату за занятость в размере 100 000 рублей (включая транспортные и иные расходы) и премиальный бонус в размере 100 000 рублей. Истец считает размер заявленных расходов не соответствующим тре</w:t>
      </w:r>
      <w:r>
        <w:rPr>
          <w:rFonts w:asciiTheme="majorHAnsi" w:eastAsia="Times New Roman" w:hAnsiTheme="majorHAnsi" w:cstheme="majorHAnsi"/>
          <w:color w:val="000000"/>
          <w:szCs w:val="24"/>
        </w:rPr>
        <w:t>бованиям разумности, поскольку:</w:t>
      </w:r>
    </w:p>
    <w:p w:rsidR="00685D54" w:rsidRDefault="00685D54" w:rsidP="00685D5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Согласно соглашению № 1 от 01.01.2016 предусмотрена оплата за занятость в размере 100 000 рублей, тогда как сложившаяся в регионе стоимость оплаты услуг значительно ниже заявленной, что подтверждается копией рекомендуемых ставок стоимости некоторых видов юридической помощи, оказываемой адвокатами Адвокатской палаты Новосибирской области утвержденных решением Совета адвокатской палаты Новосиби</w:t>
      </w:r>
      <w:r>
        <w:rPr>
          <w:rFonts w:asciiTheme="majorHAnsi" w:eastAsia="Times New Roman" w:hAnsiTheme="majorHAnsi" w:cstheme="majorHAnsi"/>
          <w:color w:val="000000"/>
          <w:szCs w:val="24"/>
        </w:rPr>
        <w:t>рской области от 28.10.2015.</w:t>
      </w:r>
    </w:p>
    <w:p w:rsidR="00685D54" w:rsidRDefault="00685D54" w:rsidP="00685D5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В силу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законом, именно на Ответчика возлагается бремя доказывания обстоятельств, позволяющих суду взыскать с Истца расходы на оплату услуг </w:t>
      </w:r>
      <w:hyperlink r:id="rId5" w:history="1">
        <w:r w:rsidRPr="00685D54">
          <w:rPr>
            <w:rFonts w:asciiTheme="majorHAnsi" w:eastAsia="Times New Roman" w:hAnsiTheme="majorHAnsi" w:cstheme="majorHAnsi"/>
            <w:color w:val="0000FF"/>
            <w:szCs w:val="24"/>
            <w:u w:val="single"/>
          </w:rPr>
          <w:t>представителя</w:t>
        </w:r>
      </w:hyperlink>
      <w:r w:rsidRPr="00685D54">
        <w:rPr>
          <w:rFonts w:asciiTheme="majorHAnsi" w:eastAsia="Times New Roman" w:hAnsiTheme="majorHAnsi" w:cstheme="majorHAnsi"/>
          <w:color w:val="000000"/>
          <w:szCs w:val="24"/>
        </w:rPr>
        <w:t> в разумных пределах. 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 xml:space="preserve">Ответчиком не представлены доказательства подтверждающие размер и разумность расходов на оплату услуг стажера адвоката, компенсацию 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lastRenderedPageBreak/>
        <w:t>транспортных и иных расходов включенных в с</w:t>
      </w:r>
      <w:r>
        <w:rPr>
          <w:rFonts w:asciiTheme="majorHAnsi" w:eastAsia="Times New Roman" w:hAnsiTheme="majorHAnsi" w:cstheme="majorHAnsi"/>
          <w:color w:val="000000"/>
          <w:szCs w:val="24"/>
        </w:rPr>
        <w:t>тоимость юридической помощи.</w:t>
      </w:r>
    </w:p>
    <w:p w:rsidR="00685D54" w:rsidRDefault="00685D54" w:rsidP="00685D54">
      <w:pPr>
        <w:pStyle w:val="a3"/>
        <w:numPr>
          <w:ilvl w:val="0"/>
          <w:numId w:val="1"/>
        </w:num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 xml:space="preserve">В условия соглашения № 1 от 01.01.2016 включен размер бонуса в размере 100 000 рублей. Включение же в текст договора о возмездном оказании правовых услуг условия о выплате вознаграждения в зависимости от самого факта принятия положительного для истца (ответчика) решения суда расходится с основными началами гражданского законодательства, поскольку в данном случае это означает введение иного, не предусмотренного законом, предмета договора. Кроме того, в этом случае не учитывается, что по смыслу п. 1 ст. 423 ГК РФ плата по договору за оказание правовых услуг, как и по всякому возмездному договору, производится за исполнение своих обязанностей (Постановление Конституционного Суда </w:t>
      </w:r>
      <w:r>
        <w:rPr>
          <w:rFonts w:asciiTheme="majorHAnsi" w:eastAsia="Times New Roman" w:hAnsiTheme="majorHAnsi" w:cstheme="majorHAnsi"/>
          <w:color w:val="000000"/>
          <w:szCs w:val="24"/>
        </w:rPr>
        <w:t>РФ от 23 января 2007 г. N 1-П).</w:t>
      </w:r>
    </w:p>
    <w:p w:rsidR="00685D54" w:rsidRDefault="00685D54" w:rsidP="00685D54">
      <w:pPr>
        <w:pStyle w:val="a3"/>
        <w:shd w:val="clear" w:color="auto" w:fill="FFFFFF"/>
        <w:spacing w:before="134" w:after="134" w:line="240" w:lineRule="auto"/>
        <w:ind w:left="0"/>
        <w:rPr>
          <w:rFonts w:asciiTheme="majorHAnsi" w:eastAsia="Times New Roman" w:hAnsiTheme="majorHAnsi" w:cstheme="majorHAnsi"/>
          <w:color w:val="000000"/>
          <w:szCs w:val="24"/>
        </w:rPr>
      </w:pPr>
    </w:p>
    <w:p w:rsidR="00685D54" w:rsidRPr="00685D54" w:rsidRDefault="00685D54" w:rsidP="00685D54">
      <w:pPr>
        <w:pStyle w:val="a3"/>
        <w:shd w:val="clear" w:color="auto" w:fill="FFFFFF"/>
        <w:spacing w:before="134" w:after="134" w:line="240" w:lineRule="auto"/>
        <w:ind w:left="0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Конституционный Суд РФ постановил, что в системе действующего правового регулирования отношений по возмездному оказанию правовых услуг положения п. 1 ст. 779 и п. 1 ст. 781 ГК РФ не предполагают удовлетворение требования исполнителя о выплате вознаграждения, если данное требование обосновывается условием, ставящим </w:t>
      </w:r>
      <w:hyperlink r:id="rId6" w:history="1">
        <w:r w:rsidRPr="00685D54">
          <w:rPr>
            <w:rFonts w:asciiTheme="majorHAnsi" w:eastAsia="Times New Roman" w:hAnsiTheme="majorHAnsi" w:cstheme="majorHAnsi"/>
            <w:color w:val="0000FF"/>
            <w:szCs w:val="24"/>
            <w:u w:val="single"/>
          </w:rPr>
          <w:t>размер оплаты услуг в зависимость от решения суда</w:t>
        </w:r>
      </w:hyperlink>
      <w:r w:rsidRPr="00685D54">
        <w:rPr>
          <w:rFonts w:asciiTheme="majorHAnsi" w:eastAsia="Times New Roman" w:hAnsiTheme="majorHAnsi" w:cstheme="majorHAnsi"/>
          <w:color w:val="000000"/>
          <w:szCs w:val="24"/>
        </w:rPr>
        <w:t>, которое будет принято в будущем.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Поскольку соглашением на оказание юридических услуг предусмотрено, что выплата части вознаграждения при рассмотрении дела в суде поставлена в зависимость от решения суда, которое будет принято в будущем, требование о взыскании с Истца указанных судебных расходов не подлежит удовлетворению.</w:t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br/>
        <w:t>Учитывая вышеизложенное, руководствуясь ст. 35 ГПК РФ,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Pr="00685D54" w:rsidRDefault="00685D54" w:rsidP="00685D54">
      <w:pPr>
        <w:pStyle w:val="2"/>
        <w:jc w:val="center"/>
        <w:rPr>
          <w:rFonts w:eastAsia="Times New Roman"/>
        </w:rPr>
      </w:pPr>
      <w:r w:rsidRPr="00685D54">
        <w:rPr>
          <w:rFonts w:eastAsia="Times New Roman"/>
        </w:rPr>
        <w:t>ПРОСИМ: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both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Частично удовлетворить требования Ответчика, взыскав судебные расходы в размере 20 000 рублей.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jc w:val="both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Theme="majorHAnsi" w:eastAsia="Times New Roman" w:hAnsiTheme="majorHAnsi" w:cstheme="majorHAnsi"/>
          <w:color w:val="000000"/>
          <w:szCs w:val="24"/>
        </w:rPr>
        <w:t>Приложения: Копия решения Совета Адвокатской палаты Томской области от 28.01.2016 на 2 л. в 1 экз.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85D54" w:rsidRPr="00685D54" w:rsidRDefault="00685D54" w:rsidP="00685D54">
      <w:pPr>
        <w:shd w:val="clear" w:color="auto" w:fill="FFFFFF"/>
        <w:spacing w:before="134" w:after="134" w:line="240" w:lineRule="auto"/>
        <w:rPr>
          <w:rFonts w:asciiTheme="majorHAnsi" w:eastAsia="Times New Roman" w:hAnsiTheme="majorHAnsi" w:cstheme="majorHAnsi"/>
          <w:color w:val="000000"/>
          <w:szCs w:val="24"/>
        </w:rPr>
      </w:pPr>
      <w:r w:rsidRPr="00685D5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85D54">
        <w:rPr>
          <w:rFonts w:asciiTheme="majorHAnsi" w:eastAsia="Times New Roman" w:hAnsiTheme="majorHAnsi" w:cstheme="majorHAnsi"/>
          <w:color w:val="000000"/>
          <w:szCs w:val="24"/>
        </w:rPr>
        <w:t>Истец                                                                                                                             И.О. Фамилия</w:t>
      </w:r>
    </w:p>
    <w:bookmarkEnd w:id="0"/>
    <w:p w:rsidR="00DA4A58" w:rsidRDefault="00DA4A58"/>
    <w:sectPr w:rsidR="00DA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2373C"/>
    <w:multiLevelType w:val="hybridMultilevel"/>
    <w:tmpl w:val="8EB088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4"/>
    <w:rsid w:val="000679AF"/>
    <w:rsid w:val="00232718"/>
    <w:rsid w:val="00685D54"/>
    <w:rsid w:val="00764272"/>
    <w:rsid w:val="007A4C0C"/>
    <w:rsid w:val="00B80645"/>
    <w:rsid w:val="00DA4A58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B406-2BE2-4D83-AF76-77C08EB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64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27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A4C0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45"/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64272"/>
    <w:rPr>
      <w:rFonts w:asciiTheme="majorHAnsi" w:eastAsiaTheme="majorEastAsia" w:hAnsiTheme="majorHAnsi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A4C0C"/>
    <w:rPr>
      <w:rFonts w:asciiTheme="majorHAnsi" w:eastAsiaTheme="majorEastAsia" w:hAnsiTheme="majorHAnsi" w:cstheme="majorBidi"/>
      <w:bCs/>
      <w:color w:val="4F81BD" w:themeColor="accent1"/>
      <w:sz w:val="26"/>
    </w:rPr>
  </w:style>
  <w:style w:type="paragraph" w:styleId="a3">
    <w:name w:val="List Paragraph"/>
    <w:basedOn w:val="a"/>
    <w:uiPriority w:val="34"/>
    <w:qFormat/>
    <w:rsid w:val="0068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advokat-bez-predoplaty-rabotayushchiy-na-rezultat/" TargetMode="External"/><Relationship Id="rId5" Type="http://schemas.openxmlformats.org/officeDocument/2006/relationships/hyperlink" Target="http://advokat-kozhevnikov.ru/uslugi/predstavitelstvo-v-arbitrazhnom-su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2019-04-24T22:15:00Z</dcterms:created>
  <dcterms:modified xsi:type="dcterms:W3CDTF">2019-04-24T22:15:00Z</dcterms:modified>
</cp:coreProperties>
</file>